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42"/>
        </w:tabs>
        <w:ind w:left="0" w:firstLine="0"/>
        <w:rPr>
          <w:rFonts w:ascii="Arial" w:cs="Arial" w:eastAsia="Arial" w:hAnsi="Arial"/>
        </w:rPr>
      </w:pPr>
      <w:r w:rsidDel="00000000" w:rsidR="00000000" w:rsidRPr="00000000">
        <w:rPr>
          <w:rFonts w:ascii="Arial" w:cs="Arial" w:eastAsia="Arial" w:hAnsi="Arial"/>
          <w:rtl w:val="0"/>
        </w:rPr>
        <w:t xml:space="preserve"> Superintendencia de Fuerzas de Operaciones Especiales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34"/>
          <w:szCs w:val="3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64769</wp:posOffset>
                </wp:positionH>
                <wp:positionV relativeFrom="paragraph">
                  <wp:posOffset>161290</wp:posOffset>
                </wp:positionV>
                <wp:extent cx="6068060" cy="431800"/>
                <wp:effectExtent b="0" l="0" r="0" t="0"/>
                <wp:wrapTopAndBottom distB="0" distT="0"/>
                <wp:docPr id="3" name=""/>
                <a:graphic>
                  <a:graphicData uri="http://schemas.microsoft.com/office/word/2010/wordprocessingGroup">
                    <wpg:wgp>
                      <wpg:cNvGrpSpPr/>
                      <wpg:grpSpPr>
                        <a:xfrm>
                          <a:off x="2311950" y="3564100"/>
                          <a:ext cx="6068060" cy="431800"/>
                          <a:chOff x="2311950" y="3564100"/>
                          <a:chExt cx="6068100" cy="431800"/>
                        </a:xfrm>
                      </wpg:grpSpPr>
                      <wpg:grpSp>
                        <wpg:cNvGrpSpPr/>
                        <wpg:grpSpPr>
                          <a:xfrm>
                            <a:off x="2311970" y="3564100"/>
                            <a:ext cx="6068060" cy="431800"/>
                            <a:chOff x="2311653" y="3594580"/>
                            <a:chExt cx="6068695" cy="382062"/>
                          </a:xfrm>
                        </wpg:grpSpPr>
                        <wps:wsp>
                          <wps:cNvSpPr/>
                          <wps:cNvPr id="3" name="Shape 3"/>
                          <wps:spPr>
                            <a:xfrm>
                              <a:off x="2311653" y="3594580"/>
                              <a:ext cx="6068675" cy="38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594580"/>
                              <a:ext cx="6068695" cy="382062"/>
                              <a:chOff x="0" y="0"/>
                              <a:chExt cx="6068695" cy="382062"/>
                            </a:xfrm>
                          </wpg:grpSpPr>
                          <wps:wsp>
                            <wps:cNvSpPr/>
                            <wps:cNvPr id="5" name="Shape 5"/>
                            <wps:spPr>
                              <a:xfrm>
                                <a:off x="0" y="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068695" cy="364490"/>
                              </a:xfrm>
                              <a:custGeom>
                                <a:rect b="b" l="l" r="r" t="t"/>
                                <a:pathLst>
                                  <a:path extrusionOk="0" h="364490" w="6068695">
                                    <a:moveTo>
                                      <a:pt x="6068314" y="0"/>
                                    </a:moveTo>
                                    <a:lnTo>
                                      <a:pt x="0" y="0"/>
                                    </a:lnTo>
                                    <a:lnTo>
                                      <a:pt x="0" y="364235"/>
                                    </a:lnTo>
                                    <a:lnTo>
                                      <a:pt x="6068314" y="364235"/>
                                    </a:lnTo>
                                    <a:lnTo>
                                      <a:pt x="6068314" y="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0" y="364236"/>
                                <a:ext cx="6068695" cy="6350"/>
                              </a:xfrm>
                              <a:custGeom>
                                <a:rect b="b" l="l" r="r" t="t"/>
                                <a:pathLst>
                                  <a:path extrusionOk="0" h="6350" w="6068695">
                                    <a:moveTo>
                                      <a:pt x="6068314" y="0"/>
                                    </a:moveTo>
                                    <a:lnTo>
                                      <a:pt x="0" y="0"/>
                                    </a:lnTo>
                                    <a:lnTo>
                                      <a:pt x="0" y="6096"/>
                                    </a:lnTo>
                                    <a:lnTo>
                                      <a:pt x="6068314" y="6096"/>
                                    </a:lnTo>
                                    <a:lnTo>
                                      <a:pt x="6068314"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2"/>
                                <a:ext cx="6068695" cy="382060"/>
                              </a:xfrm>
                              <a:prstGeom prst="rect">
                                <a:avLst/>
                              </a:prstGeom>
                              <a:noFill/>
                              <a:ln>
                                <a:noFill/>
                              </a:ln>
                            </wps:spPr>
                            <wps:txbx>
                              <w:txbxContent>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Curso de primer respondedor en situaciones críticas.</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64769</wp:posOffset>
                </wp:positionH>
                <wp:positionV relativeFrom="paragraph">
                  <wp:posOffset>161290</wp:posOffset>
                </wp:positionV>
                <wp:extent cx="6068060" cy="431800"/>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060" cy="431800"/>
                        </a:xfrm>
                        <a:prstGeom prst="rect"/>
                        <a:ln/>
                      </pic:spPr>
                    </pic:pic>
                  </a:graphicData>
                </a:graphic>
              </wp:anchor>
            </w:drawing>
          </mc:Fallback>
        </mc:AlternateContent>
      </w:r>
    </w:p>
    <w:p w:rsidR="00000000" w:rsidDel="00000000" w:rsidP="00000000" w:rsidRDefault="00000000" w:rsidRPr="00000000" w14:paraId="00000003">
      <w:pPr>
        <w:pStyle w:val="Heading1"/>
        <w:spacing w:line="36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Descripción:</w:t>
        <w:tab/>
      </w:r>
    </w:p>
    <w:p w:rsidR="00000000" w:rsidDel="00000000" w:rsidP="00000000" w:rsidRDefault="00000000" w:rsidRPr="00000000" w14:paraId="00000005">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La Superintendencia de Fuerzas de Operaciones Especiales tiene entre sus atribuciones capacitar al personal policial de las diversas jefaturas departamentales y otras Superintendencias, con el objetivo de conformar equipos de trabajo calificados capaces de intervenir en múltiples situaciones críticas. El personal desplegado en estas dependencias descentralizadas debe afrontar, en el ejercicio de sus funciones, eventos como toma de rehenes, tentativas de suicidio, atrincheramientos y problemáticas asociadas a violencia intrafamiliar, violencia de género, restitución de menores, desalojos y situaciones que involucren personas con trastornos psicológicos o consumo de sustancias. Es clave destacar que la División Equipo de Negociadores asume la responsabilidad de estas problemáticas en toda la provincia, coordinando con otros actores de seguridad y destacando el rol del primer respondedor como enlace inicial con el equipo de negociación hasta la llegada de los negociadores. Además, la capacitación se propone como plataforma para la evaluación y posterior convocatoria al curso de negociación impartido por la División.</w:t>
      </w:r>
      <w:r w:rsidDel="00000000" w:rsidR="00000000" w:rsidRPr="00000000">
        <w:rPr>
          <w:rFonts w:ascii="Arial" w:cs="Arial" w:eastAsia="Arial" w:hAnsi="Arial"/>
          <w:b w:val="0"/>
          <w:bCs w:val="0"/>
          <w:sz w:val="22"/>
          <w:szCs w:val="22"/>
          <w:rtl w:val="0"/>
        </w:rPr>
        <w:t xml:space="preserve"> La intención es </w:t>
      </w:r>
      <w:r w:rsidDel="00000000" w:rsidR="00000000" w:rsidRPr="00000000">
        <w:rPr>
          <w:rFonts w:ascii="Arial" w:cs="Arial" w:eastAsia="Arial" w:hAnsi="Arial"/>
          <w:b w:val="0"/>
          <w:bCs w:val="0"/>
          <w:color w:val="000000"/>
          <w:sz w:val="22"/>
          <w:szCs w:val="22"/>
          <w:rtl w:val="0"/>
        </w:rPr>
        <w:t xml:space="preserve"> desarrollar conocimientos, habilidades y actitudes en el personal dependiente de las distintas Superintendencias para generar equipos de trabajo calificados capaces de intervenir de forma eficaz y contener/mitigar incidentes en distintas situaciones críticas.</w:t>
      </w:r>
    </w:p>
    <w:p w:rsidR="00000000" w:rsidDel="00000000" w:rsidP="00000000" w:rsidRDefault="00000000" w:rsidRPr="00000000" w14:paraId="00000006">
      <w:pPr>
        <w:pStyle w:val="Heading1"/>
        <w:spacing w:line="360" w:lineRule="auto"/>
        <w:ind w:firstLine="14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Style w:val="Heading1"/>
        <w:spacing w:line="360" w:lineRule="auto"/>
        <w:ind w:firstLine="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Destinatarios:</w:t>
      </w:r>
    </w:p>
    <w:p w:rsidR="00000000" w:rsidDel="00000000" w:rsidP="00000000" w:rsidRDefault="00000000" w:rsidRPr="00000000" w14:paraId="00000008">
      <w:pPr>
        <w:spacing w:line="360" w:lineRule="auto"/>
        <w:ind w:left="143" w:firstLine="0"/>
        <w:jc w:val="both"/>
        <w:rPr>
          <w:rFonts w:ascii="Arial" w:cs="Arial" w:eastAsia="Arial" w:hAnsi="Arial"/>
          <w:b w:val="1"/>
          <w:bCs w:val="1"/>
        </w:rPr>
      </w:pPr>
      <w:r w:rsidDel="00000000" w:rsidR="00000000" w:rsidRPr="00000000">
        <w:rPr>
          <w:rFonts w:ascii="Arial" w:cs="Arial" w:eastAsia="Arial" w:hAnsi="Arial"/>
          <w:color w:val="000000"/>
          <w:rtl w:val="0"/>
        </w:rPr>
        <w:t xml:space="preserve">Dirigido al personal de los subescalafones comando y general de las policías de la provincia de Buenos Aires, personal de los escalafones de suboficiales y oficiales de Fuerzas de Seguridad Nacionales e Internacionales.</w:t>
      </w:r>
      <w:r w:rsidDel="00000000" w:rsidR="00000000" w:rsidRPr="00000000">
        <w:rPr>
          <w:rtl w:val="0"/>
        </w:rPr>
      </w:r>
    </w:p>
    <w:p w:rsidR="00000000" w:rsidDel="00000000" w:rsidP="00000000" w:rsidRDefault="00000000" w:rsidRPr="00000000" w14:paraId="00000009">
      <w:pPr>
        <w:spacing w:line="360" w:lineRule="auto"/>
        <w:ind w:left="143"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line="360" w:lineRule="auto"/>
        <w:ind w:left="143" w:firstLine="0"/>
        <w:jc w:val="both"/>
        <w:rPr>
          <w:rFonts w:ascii="Arial" w:cs="Arial" w:eastAsia="Arial" w:hAnsi="Arial"/>
        </w:rPr>
      </w:pPr>
      <w:r w:rsidDel="00000000" w:rsidR="00000000" w:rsidRPr="00000000">
        <w:rPr>
          <w:rFonts w:ascii="Arial" w:cs="Arial" w:eastAsia="Arial" w:hAnsi="Arial"/>
          <w:b w:val="1"/>
          <w:bCs w:val="1"/>
          <w:rtl w:val="0"/>
        </w:rPr>
        <w:t xml:space="preserve">Modalidad: </w:t>
      </w:r>
      <w:r w:rsidDel="00000000" w:rsidR="00000000" w:rsidRPr="00000000">
        <w:rPr>
          <w:rFonts w:ascii="Arial" w:cs="Arial" w:eastAsia="Arial" w:hAnsi="Arial"/>
          <w:rtl w:val="0"/>
        </w:rPr>
        <w:t xml:space="preserve">Presencial.</w:t>
      </w:r>
    </w:p>
    <w:p w:rsidR="00000000" w:rsidDel="00000000" w:rsidP="00000000" w:rsidRDefault="00000000" w:rsidRPr="00000000" w14:paraId="0000000B">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40 horas reloj.</w:t>
      </w:r>
    </w:p>
    <w:p w:rsidR="00000000" w:rsidDel="00000000" w:rsidP="00000000" w:rsidRDefault="00000000" w:rsidRPr="00000000" w14:paraId="0000000D">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spacing w:line="360" w:lineRule="auto"/>
        <w:ind w:firstLine="143"/>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Ediciones: </w:t>
      </w:r>
      <w:r w:rsidDel="00000000" w:rsidR="00000000" w:rsidRPr="00000000">
        <w:rPr>
          <w:rFonts w:ascii="Arial" w:cs="Arial" w:eastAsia="Arial" w:hAnsi="Arial"/>
          <w:b w:val="0"/>
          <w:bCs w:val="0"/>
          <w:sz w:val="22"/>
          <w:szCs w:val="22"/>
          <w:rtl w:val="0"/>
        </w:rPr>
        <w:t xml:space="preserve">3.</w:t>
      </w:r>
    </w:p>
    <w:p w:rsidR="00000000" w:rsidDel="00000000" w:rsidP="00000000" w:rsidRDefault="00000000" w:rsidRPr="00000000" w14:paraId="0000000F">
      <w:pPr>
        <w:pStyle w:val="Heading1"/>
        <w:spacing w:line="360" w:lineRule="auto"/>
        <w:ind w:firstLine="143"/>
        <w:rPr>
          <w:rFonts w:ascii="Arial" w:cs="Arial" w:eastAsia="Arial" w:hAnsi="Arial"/>
          <w:b w:val="0"/>
          <w:bCs w:val="0"/>
        </w:rPr>
      </w:pPr>
      <w:r w:rsidDel="00000000" w:rsidR="00000000" w:rsidRPr="00000000">
        <w:rPr>
          <w:rtl w:val="0"/>
        </w:rPr>
      </w:r>
    </w:p>
    <w:p w:rsidR="00000000" w:rsidDel="00000000" w:rsidP="00000000" w:rsidRDefault="00000000" w:rsidRPr="00000000" w14:paraId="00000010">
      <w:pPr>
        <w:shd w:fill="ffffff" w:val="clear"/>
        <w:tabs>
          <w:tab w:val="left" w:leader="none" w:pos="426"/>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  Fecha de inicio y finalización</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rtl w:val="0"/>
        </w:rPr>
        <w:t xml:space="preserve"> Fechas estimadas: 03/03/2026 al 07/03/2026. 05/05/2026 al 09/05/2026  y del 30/06/2026 al 04/07/2026. </w:t>
      </w:r>
    </w:p>
    <w:p w:rsidR="00000000" w:rsidDel="00000000" w:rsidP="00000000" w:rsidRDefault="00000000" w:rsidRPr="00000000" w14:paraId="00000011">
      <w:pPr>
        <w:shd w:fill="ffffff" w:val="clear"/>
        <w:tabs>
          <w:tab w:val="left" w:leader="none" w:pos="426"/>
        </w:tabs>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line="360" w:lineRule="auto"/>
        <w:ind w:left="143" w:firstLine="0"/>
        <w:jc w:val="both"/>
        <w:rPr>
          <w:rFonts w:ascii="Arial" w:cs="Arial" w:eastAsia="Arial" w:hAnsi="Arial"/>
        </w:rPr>
      </w:pPr>
      <w:r w:rsidDel="00000000" w:rsidR="00000000" w:rsidRPr="00000000">
        <w:rPr>
          <w:rFonts w:ascii="Arial" w:cs="Arial" w:eastAsia="Arial" w:hAnsi="Arial"/>
          <w:b w:val="1"/>
          <w:bCs w:val="1"/>
          <w:rtl w:val="0"/>
        </w:rPr>
        <w:t xml:space="preserve">Cupo: </w:t>
      </w:r>
      <w:r w:rsidDel="00000000" w:rsidR="00000000" w:rsidRPr="00000000">
        <w:rPr>
          <w:rFonts w:ascii="Arial" w:cs="Arial" w:eastAsia="Arial" w:hAnsi="Arial"/>
          <w:rtl w:val="0"/>
        </w:rPr>
        <w:t xml:space="preserve">30 por edición.</w:t>
      </w:r>
    </w:p>
    <w:p w:rsidR="00000000" w:rsidDel="00000000" w:rsidP="00000000" w:rsidRDefault="00000000" w:rsidRPr="00000000" w14:paraId="00000013">
      <w:pPr>
        <w:spacing w:line="360" w:lineRule="auto"/>
        <w:ind w:left="14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pStyle w:val="Heading1"/>
        <w:spacing w:line="360" w:lineRule="auto"/>
        <w:ind w:left="15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Medio de contacto: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8" w:line="360" w:lineRule="auto"/>
        <w:ind w:left="720" w:right="149"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Correo electrónico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negociadores.foe@gmail.com</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42"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Teléfono: 114998029.</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8" w:line="360" w:lineRule="auto"/>
        <w:ind w:left="720" w:right="14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s>
        <w:spacing w:after="0" w:before="42"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863"/>
        </w:tabs>
        <w:spacing w:before="42" w:line="360" w:lineRule="auto"/>
        <w:ind w:left="150" w:firstLine="0"/>
        <w:rPr>
          <w:rFonts w:ascii="Arial" w:cs="Arial" w:eastAsia="Arial" w:hAnsi="Arial"/>
          <w:color w:val="000000"/>
        </w:rPr>
      </w:pPr>
      <w:r w:rsidDel="00000000" w:rsidR="00000000" w:rsidRPr="00000000">
        <w:rPr>
          <w:rtl w:val="0"/>
        </w:rPr>
      </w:r>
    </w:p>
    <w:sectPr>
      <w:pgSz w:h="16840" w:w="11910" w:orient="portrait"/>
      <w:pgMar w:bottom="1418" w:top="1418" w:left="1418"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7" w:lineRule="auto"/>
      <w:ind w:left="143"/>
    </w:pPr>
    <w:rPr>
      <w:sz w:val="34"/>
      <w:szCs w:val="3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42"/>
      <w:ind w:left="863" w:hanging="360"/>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1121B6"/>
    <w:rPr>
      <w:rFonts w:ascii="Times New Roman" w:cs="Times New Roman" w:hAnsi="Times New Roman"/>
      <w:sz w:val="24"/>
      <w:szCs w:val="24"/>
    </w:rPr>
  </w:style>
  <w:style w:type="character" w:styleId="Hipervnculo">
    <w:name w:val="Hyperlink"/>
    <w:basedOn w:val="Fuentedeprrafopredeter"/>
    <w:uiPriority w:val="99"/>
    <w:unhideWhenUsed w:val="1"/>
    <w:rsid w:val="003742A3"/>
    <w:rPr>
      <w:color w:val="0000ff" w:themeColor="hyperlink"/>
      <w:u w:val="single"/>
    </w:rPr>
  </w:style>
  <w:style w:type="character" w:styleId="Mencinsinresolver">
    <w:name w:val="Unresolved Mention"/>
    <w:basedOn w:val="Fuentedeprrafopredeter"/>
    <w:uiPriority w:val="99"/>
    <w:semiHidden w:val="1"/>
    <w:unhideWhenUsed w:val="1"/>
    <w:rsid w:val="003742A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negociadores.fo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7VVf2Adm6dKwL+my1gV3bxRQNQ==">CgMxLjA4AHIhMTVZR0NsNWlvcTVDb3VYZy1iQWNxTkUxc2V6Vk84Smg1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2026-02-05T19:48:00Z</dcterms:created>
  <dc:creator>Vanina Miralles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